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BC9A" w14:textId="77777777" w:rsidR="002D69FF" w:rsidRPr="00D7003B" w:rsidRDefault="002D69FF" w:rsidP="002D69FF">
      <w:pPr>
        <w:pStyle w:val="ParaAttribute2"/>
        <w:spacing w:line="276" w:lineRule="auto"/>
        <w:rPr>
          <w:rStyle w:val="CharAttribute1"/>
          <w:rFonts w:asciiTheme="minorHAnsi" w:hAnsiTheme="minorHAnsi" w:cstheme="minorHAnsi"/>
          <w:b/>
          <w:bCs/>
        </w:rPr>
      </w:pPr>
      <w:r w:rsidRPr="00D7003B">
        <w:rPr>
          <w:rStyle w:val="CharAttribute1"/>
          <w:rFonts w:asciiTheme="minorHAnsi" w:hAnsiTheme="minorHAnsi" w:cstheme="minorHAnsi"/>
          <w:b/>
          <w:bCs/>
        </w:rPr>
        <w:t xml:space="preserve">INFORMATIVA AI SENSI DELL’ART. 13 REGOLAMENTO (UE) 2016/679 RIVOLTA AI FORNITORI </w:t>
      </w:r>
      <w:r>
        <w:rPr>
          <w:rStyle w:val="CharAttribute1"/>
          <w:rFonts w:asciiTheme="minorHAnsi" w:hAnsiTheme="minorHAnsi" w:cstheme="minorHAnsi"/>
          <w:b/>
          <w:bCs/>
        </w:rPr>
        <w:t>DI PILA S.P.A.</w:t>
      </w:r>
    </w:p>
    <w:p w14:paraId="0396580F" w14:textId="77777777" w:rsidR="002D69FF" w:rsidRPr="00D7003B" w:rsidRDefault="002D69FF" w:rsidP="002D69FF">
      <w:pPr>
        <w:autoSpaceDE w:val="0"/>
        <w:autoSpaceDN w:val="0"/>
        <w:adjustRightInd w:val="0"/>
        <w:rPr>
          <w:rFonts w:cstheme="minorHAnsi"/>
          <w:sz w:val="20"/>
          <w:szCs w:val="20"/>
        </w:rPr>
      </w:pPr>
    </w:p>
    <w:p w14:paraId="39BCF185" w14:textId="77777777" w:rsidR="002D69FF" w:rsidRPr="00D7003B" w:rsidRDefault="002D69FF" w:rsidP="002D69FF">
      <w:pPr>
        <w:autoSpaceDE w:val="0"/>
        <w:autoSpaceDN w:val="0"/>
        <w:adjustRightInd w:val="0"/>
        <w:jc w:val="both"/>
        <w:rPr>
          <w:rFonts w:cstheme="minorHAnsi"/>
          <w:sz w:val="20"/>
          <w:szCs w:val="20"/>
        </w:rPr>
      </w:pPr>
      <w:r w:rsidRPr="00D7003B">
        <w:rPr>
          <w:rFonts w:cstheme="minorHAnsi"/>
          <w:sz w:val="20"/>
          <w:szCs w:val="20"/>
        </w:rPr>
        <w:t xml:space="preserve">Ai sensi dell’art. 13 del Regolamento UE n. 2016/679 (di seguito “GDPR 2016/679”) </w:t>
      </w:r>
      <w:r>
        <w:rPr>
          <w:rFonts w:cstheme="minorHAnsi"/>
          <w:iCs/>
          <w:sz w:val="20"/>
          <w:szCs w:val="20"/>
        </w:rPr>
        <w:t>Pila</w:t>
      </w:r>
      <w:r w:rsidRPr="00D7003B">
        <w:rPr>
          <w:rFonts w:cstheme="minorHAnsi"/>
          <w:iCs/>
          <w:sz w:val="20"/>
          <w:szCs w:val="20"/>
        </w:rPr>
        <w:t xml:space="preserve"> S.p.A. </w:t>
      </w:r>
      <w:r w:rsidRPr="00D7003B">
        <w:rPr>
          <w:rFonts w:cstheme="minorHAnsi"/>
          <w:sz w:val="20"/>
          <w:szCs w:val="20"/>
        </w:rPr>
        <w:t xml:space="preserve">informa che i dati personali forniti formeranno oggetto di trattamento nel rispetto della normativa sopra richiamata nonché del </w:t>
      </w:r>
      <w:proofErr w:type="spellStart"/>
      <w:r w:rsidRPr="00D7003B">
        <w:rPr>
          <w:rFonts w:cstheme="minorHAnsi"/>
          <w:sz w:val="20"/>
          <w:szCs w:val="20"/>
        </w:rPr>
        <w:t>D.Lgs.</w:t>
      </w:r>
      <w:proofErr w:type="spellEnd"/>
      <w:r w:rsidRPr="00D7003B">
        <w:rPr>
          <w:rFonts w:cstheme="minorHAnsi"/>
          <w:sz w:val="20"/>
          <w:szCs w:val="20"/>
        </w:rPr>
        <w:t xml:space="preserve"> 30 giugno 2003 n. 196 come modificato dal </w:t>
      </w:r>
      <w:proofErr w:type="spellStart"/>
      <w:r w:rsidRPr="00D7003B">
        <w:rPr>
          <w:rFonts w:cstheme="minorHAnsi"/>
          <w:sz w:val="20"/>
          <w:szCs w:val="20"/>
        </w:rPr>
        <w:t>D.Lgs.</w:t>
      </w:r>
      <w:proofErr w:type="spellEnd"/>
      <w:r w:rsidRPr="00D7003B">
        <w:rPr>
          <w:rFonts w:cstheme="minorHAnsi"/>
          <w:sz w:val="20"/>
          <w:szCs w:val="20"/>
        </w:rPr>
        <w:t xml:space="preserve"> 10 agosto 2018 n. 101. </w:t>
      </w:r>
    </w:p>
    <w:p w14:paraId="208A4C64" w14:textId="77777777" w:rsidR="002D69FF" w:rsidRPr="00D7003B" w:rsidRDefault="002D69FF" w:rsidP="002D69FF">
      <w:pPr>
        <w:autoSpaceDE w:val="0"/>
        <w:autoSpaceDN w:val="0"/>
        <w:adjustRightInd w:val="0"/>
        <w:rPr>
          <w:rFonts w:cstheme="minorHAnsi"/>
          <w:sz w:val="20"/>
          <w:szCs w:val="20"/>
        </w:rPr>
      </w:pPr>
    </w:p>
    <w:p w14:paraId="74A16055" w14:textId="77777777" w:rsidR="002D69FF" w:rsidRPr="00D7003B" w:rsidRDefault="002D69FF" w:rsidP="002D69FF">
      <w:pPr>
        <w:numPr>
          <w:ilvl w:val="0"/>
          <w:numId w:val="1"/>
        </w:numPr>
        <w:spacing w:after="0"/>
        <w:ind w:left="0"/>
        <w:jc w:val="both"/>
        <w:rPr>
          <w:rFonts w:cstheme="minorHAnsi"/>
          <w:b/>
          <w:sz w:val="20"/>
          <w:szCs w:val="20"/>
          <w:u w:color="292929"/>
        </w:rPr>
      </w:pPr>
      <w:r w:rsidRPr="00D7003B">
        <w:rPr>
          <w:rStyle w:val="CharAttribute4"/>
          <w:rFonts w:cstheme="minorHAnsi"/>
          <w:b/>
          <w:sz w:val="20"/>
          <w:szCs w:val="20"/>
        </w:rPr>
        <w:t>Titolare del trattamento.</w:t>
      </w:r>
      <w:r w:rsidRPr="00D7003B">
        <w:rPr>
          <w:rStyle w:val="CharAttribute3"/>
          <w:rFonts w:cstheme="minorHAnsi"/>
          <w:sz w:val="20"/>
          <w:szCs w:val="20"/>
        </w:rPr>
        <w:t xml:space="preserve"> </w:t>
      </w:r>
      <w:r w:rsidRPr="00AB1456">
        <w:rPr>
          <w:rFonts w:cstheme="minorHAnsi"/>
          <w:sz w:val="20"/>
          <w:szCs w:val="20"/>
          <w:u w:color="292929"/>
        </w:rPr>
        <w:t xml:space="preserve">Titolare del trattamento dei dati comunicati per l’acquisto di titoli di trasporto è la Pila S.p.A. con sede in Gressan (AO) Frazione Pila n. 16 in persona del Presidente del Consiglio di Amministrazione e Legale Rappresentante </w:t>
      </w:r>
      <w:r w:rsidRPr="00AB1456">
        <w:rPr>
          <w:rFonts w:cstheme="minorHAnsi"/>
          <w:i/>
          <w:sz w:val="20"/>
          <w:szCs w:val="20"/>
          <w:u w:color="292929"/>
        </w:rPr>
        <w:t>pro tempore</w:t>
      </w:r>
      <w:r w:rsidRPr="009D08FB">
        <w:rPr>
          <w:rFonts w:cstheme="minorHAnsi"/>
          <w:sz w:val="20"/>
          <w:szCs w:val="20"/>
          <w:u w:color="292929"/>
        </w:rPr>
        <w:t xml:space="preserve">.  </w:t>
      </w:r>
    </w:p>
    <w:p w14:paraId="6DF98C12" w14:textId="2E661401" w:rsidR="002D69FF" w:rsidRPr="003C2CE9" w:rsidRDefault="002D69FF" w:rsidP="002D69FF">
      <w:pPr>
        <w:widowControl w:val="0"/>
        <w:numPr>
          <w:ilvl w:val="0"/>
          <w:numId w:val="2"/>
        </w:numPr>
        <w:suppressAutoHyphens/>
        <w:autoSpaceDE w:val="0"/>
        <w:autoSpaceDN w:val="0"/>
        <w:adjustRightInd w:val="0"/>
        <w:spacing w:after="0"/>
        <w:ind w:left="0"/>
        <w:jc w:val="both"/>
        <w:rPr>
          <w:rFonts w:eastAsia="SimSun" w:cstheme="minorHAnsi"/>
          <w:bCs/>
          <w:sz w:val="20"/>
          <w:szCs w:val="20"/>
        </w:rPr>
      </w:pPr>
      <w:r w:rsidRPr="003C2CE9">
        <w:rPr>
          <w:rStyle w:val="CharAttribute3"/>
          <w:rFonts w:cstheme="minorHAnsi"/>
          <w:b/>
          <w:sz w:val="20"/>
          <w:szCs w:val="20"/>
        </w:rPr>
        <w:t xml:space="preserve">Responsabile della protezione dei dati. </w:t>
      </w:r>
      <w:r w:rsidRPr="003C2CE9">
        <w:rPr>
          <w:rFonts w:eastAsia="SimSun" w:cstheme="minorHAnsi"/>
          <w:bCs/>
          <w:sz w:val="20"/>
          <w:szCs w:val="20"/>
        </w:rPr>
        <w:t>La Società, in adempimento a quanto previsto dall'art. 37 GDPR 2016/679, ha provveduto a nominare un Responsabile della Protezione dei Dati. I dati di contatto del RPD sono pubblicati sul sito istituzionale della Società</w:t>
      </w:r>
      <w:r>
        <w:rPr>
          <w:rFonts w:eastAsia="SimSun" w:cstheme="minorHAnsi"/>
          <w:bCs/>
          <w:sz w:val="20"/>
          <w:szCs w:val="20"/>
        </w:rPr>
        <w:t xml:space="preserve"> </w:t>
      </w:r>
      <w:hyperlink r:id="rId7" w:history="1">
        <w:r w:rsidRPr="00604178">
          <w:rPr>
            <w:rStyle w:val="Collegamentoipertestuale"/>
            <w:rFonts w:eastAsia="SimSun" w:cstheme="minorHAnsi"/>
            <w:bCs/>
            <w:sz w:val="20"/>
            <w:szCs w:val="20"/>
          </w:rPr>
          <w:t>www.pila.it</w:t>
        </w:r>
      </w:hyperlink>
      <w:r>
        <w:rPr>
          <w:rFonts w:eastAsia="SimSun" w:cstheme="minorHAnsi"/>
          <w:bCs/>
          <w:sz w:val="20"/>
          <w:szCs w:val="20"/>
        </w:rPr>
        <w:t xml:space="preserve"> </w:t>
      </w:r>
      <w:r w:rsidRPr="003C2CE9">
        <w:rPr>
          <w:rFonts w:eastAsia="SimSun" w:cstheme="minorHAnsi"/>
          <w:bCs/>
          <w:sz w:val="20"/>
          <w:szCs w:val="20"/>
        </w:rPr>
        <w:t>sezione “</w:t>
      </w:r>
      <w:r w:rsidRPr="003C2CE9">
        <w:rPr>
          <w:rFonts w:eastAsia="SimSun" w:cstheme="minorHAnsi"/>
          <w:bCs/>
          <w:i/>
          <w:iCs/>
          <w:sz w:val="20"/>
          <w:szCs w:val="20"/>
        </w:rPr>
        <w:t>privacy</w:t>
      </w:r>
      <w:r w:rsidRPr="003C2CE9">
        <w:rPr>
          <w:rFonts w:eastAsia="SimSun" w:cstheme="minorHAnsi"/>
          <w:bCs/>
          <w:sz w:val="20"/>
          <w:szCs w:val="20"/>
        </w:rPr>
        <w:t>” – “</w:t>
      </w:r>
      <w:r w:rsidRPr="003C2CE9">
        <w:rPr>
          <w:rFonts w:eastAsia="SimSun" w:cstheme="minorHAnsi"/>
          <w:bCs/>
          <w:i/>
          <w:iCs/>
          <w:sz w:val="20"/>
          <w:szCs w:val="20"/>
        </w:rPr>
        <w:t>contatti RPD</w:t>
      </w:r>
      <w:r w:rsidRPr="003C2CE9">
        <w:rPr>
          <w:rFonts w:eastAsia="SimSun" w:cstheme="minorHAnsi"/>
          <w:bCs/>
          <w:sz w:val="20"/>
          <w:szCs w:val="20"/>
        </w:rPr>
        <w:t>”.</w:t>
      </w:r>
    </w:p>
    <w:p w14:paraId="197F7DA9" w14:textId="77777777" w:rsidR="002D69FF" w:rsidRPr="003C2CE9" w:rsidRDefault="002D69FF" w:rsidP="002D69FF">
      <w:pPr>
        <w:widowControl w:val="0"/>
        <w:numPr>
          <w:ilvl w:val="0"/>
          <w:numId w:val="2"/>
        </w:numPr>
        <w:suppressAutoHyphens/>
        <w:autoSpaceDE w:val="0"/>
        <w:autoSpaceDN w:val="0"/>
        <w:adjustRightInd w:val="0"/>
        <w:spacing w:after="0"/>
        <w:ind w:left="0"/>
        <w:jc w:val="both"/>
        <w:rPr>
          <w:rFonts w:cstheme="minorHAnsi"/>
          <w:bCs/>
          <w:sz w:val="20"/>
          <w:szCs w:val="20"/>
        </w:rPr>
      </w:pPr>
      <w:r w:rsidRPr="003C2CE9">
        <w:rPr>
          <w:rFonts w:cstheme="minorHAnsi"/>
          <w:b/>
          <w:bCs/>
          <w:sz w:val="20"/>
          <w:szCs w:val="20"/>
        </w:rPr>
        <w:t xml:space="preserve">Soggetti autorizzati al trattamento. </w:t>
      </w:r>
      <w:r w:rsidRPr="003C2CE9">
        <w:rPr>
          <w:rFonts w:cstheme="minorHAnsi"/>
          <w:bCs/>
          <w:sz w:val="20"/>
          <w:szCs w:val="20"/>
        </w:rPr>
        <w:t>I dipendenti della Società i quali effettuano attività di trattamento sui dati personali dei fornitori sono stati a ciò espressamente autorizzati a norma dell’art. 29 GDPR 2016/679. L’atto di autorizzazione contiene specifiche istruzioni e limitazioni – in base alla mansione svolta – riguardo le modalità con cui effettuare detto trattamento nonché un impegno alla riservatezza riguardo il contenuto degli stessi.</w:t>
      </w:r>
    </w:p>
    <w:p w14:paraId="4B047E42" w14:textId="77777777" w:rsidR="002D69FF" w:rsidRPr="00D7003B" w:rsidRDefault="002D69FF" w:rsidP="002D69FF">
      <w:pPr>
        <w:pStyle w:val="Paragrafoelenco"/>
        <w:widowControl w:val="0"/>
        <w:numPr>
          <w:ilvl w:val="0"/>
          <w:numId w:val="2"/>
        </w:numPr>
        <w:suppressAutoHyphens/>
        <w:autoSpaceDE w:val="0"/>
        <w:autoSpaceDN w:val="0"/>
        <w:adjustRightInd w:val="0"/>
        <w:spacing w:after="0" w:line="276" w:lineRule="auto"/>
        <w:ind w:left="0"/>
        <w:jc w:val="both"/>
        <w:rPr>
          <w:rFonts w:cstheme="minorHAnsi"/>
          <w:sz w:val="20"/>
          <w:szCs w:val="20"/>
        </w:rPr>
      </w:pPr>
      <w:r w:rsidRPr="00D7003B">
        <w:rPr>
          <w:rFonts w:cstheme="minorHAnsi"/>
          <w:b/>
          <w:sz w:val="20"/>
          <w:szCs w:val="20"/>
        </w:rPr>
        <w:t>Tipologia di dati trattati.</w:t>
      </w:r>
      <w:r w:rsidRPr="00D7003B">
        <w:rPr>
          <w:rFonts w:cstheme="minorHAnsi"/>
          <w:sz w:val="20"/>
          <w:szCs w:val="20"/>
        </w:rPr>
        <w:t xml:space="preserve"> Nell’ambito del rapporto con il fornitore o con il potenziale fornitore (in fase precontrattuale) la Società tratterà dati personali comuni (quale nome, cognome, data di nascita), dai di contatto (numero di telefono, casella di posta elettronica, casella di posta elettronica certificata, indirizzo di residenza), dati bancari (codice IBAN e dati relativi al conto corrente dedicato alla ricezione dei pagamenti) e dati inerenti </w:t>
      </w:r>
      <w:proofErr w:type="gramStart"/>
      <w:r w:rsidRPr="00D7003B">
        <w:rPr>
          <w:rFonts w:cstheme="minorHAnsi"/>
          <w:sz w:val="20"/>
          <w:szCs w:val="20"/>
        </w:rPr>
        <w:t>la</w:t>
      </w:r>
      <w:proofErr w:type="gramEnd"/>
      <w:r w:rsidRPr="00D7003B">
        <w:rPr>
          <w:rFonts w:cstheme="minorHAnsi"/>
          <w:sz w:val="20"/>
          <w:szCs w:val="20"/>
        </w:rPr>
        <w:t xml:space="preserve"> regolarità contributiva e fiscale. </w:t>
      </w:r>
      <w:r w:rsidRPr="00D7003B">
        <w:rPr>
          <w:rFonts w:cstheme="minorHAnsi"/>
          <w:sz w:val="20"/>
          <w:szCs w:val="20"/>
          <w:u w:val="single"/>
        </w:rPr>
        <w:t xml:space="preserve">In adempimento agli obblighi di verifica previsti dall’art. 80 </w:t>
      </w:r>
      <w:proofErr w:type="spellStart"/>
      <w:r w:rsidRPr="00D7003B">
        <w:rPr>
          <w:rFonts w:cstheme="minorHAnsi"/>
          <w:sz w:val="20"/>
          <w:szCs w:val="20"/>
          <w:u w:val="single"/>
        </w:rPr>
        <w:t>D.Lgs.</w:t>
      </w:r>
      <w:proofErr w:type="spellEnd"/>
      <w:r w:rsidRPr="00D7003B">
        <w:rPr>
          <w:rFonts w:cstheme="minorHAnsi"/>
          <w:sz w:val="20"/>
          <w:szCs w:val="20"/>
          <w:u w:val="single"/>
        </w:rPr>
        <w:t xml:space="preserve"> 18 aprile 2016 n. 50 (“Codice dei contratti pubblici”) alle cui disposizioni la Società è soggetta, possono essere trattati dati relativi a condanne penali e reati di cui all’art. 10 Regolamento (UE) 2016/679</w:t>
      </w:r>
      <w:r w:rsidRPr="00D7003B">
        <w:rPr>
          <w:rFonts w:cstheme="minorHAnsi"/>
          <w:sz w:val="20"/>
          <w:szCs w:val="20"/>
        </w:rPr>
        <w:t>. Il trattamento concerne i fornitori persone fisiche oltre ai Legali Rappresentanti ed i Soci delle persone giuridiche.</w:t>
      </w:r>
    </w:p>
    <w:p w14:paraId="066C76DB" w14:textId="77777777" w:rsidR="002D69FF" w:rsidRPr="00D7003B" w:rsidRDefault="002D69FF" w:rsidP="002D69FF">
      <w:pPr>
        <w:pStyle w:val="Paragrafoelenco"/>
        <w:widowControl w:val="0"/>
        <w:numPr>
          <w:ilvl w:val="0"/>
          <w:numId w:val="2"/>
        </w:numPr>
        <w:suppressAutoHyphens/>
        <w:autoSpaceDE w:val="0"/>
        <w:autoSpaceDN w:val="0"/>
        <w:adjustRightInd w:val="0"/>
        <w:spacing w:after="0" w:line="276" w:lineRule="auto"/>
        <w:ind w:left="0"/>
        <w:jc w:val="both"/>
        <w:rPr>
          <w:rFonts w:cstheme="minorHAnsi"/>
          <w:sz w:val="20"/>
          <w:szCs w:val="20"/>
        </w:rPr>
      </w:pPr>
      <w:r w:rsidRPr="00D7003B">
        <w:rPr>
          <w:rFonts w:cstheme="minorHAnsi"/>
          <w:b/>
          <w:sz w:val="20"/>
          <w:szCs w:val="20"/>
        </w:rPr>
        <w:t>Finalità del trattamento dei dati e relative basi giuridiche.</w:t>
      </w:r>
      <w:r w:rsidRPr="00D7003B">
        <w:rPr>
          <w:rFonts w:cstheme="minorHAnsi"/>
          <w:sz w:val="20"/>
          <w:szCs w:val="20"/>
        </w:rPr>
        <w:t xml:space="preserve"> Il trattamento dei dati è finalizzato alla gestione del procedimento volto all’individuazione del fornitore, alla definizione del rapporto contrattuale ed all’esecuzione di tutti gli obblighi connessi e strumentali al rapporto contrattuale con lo stesso instaurato. Nello specifico il trattamento è finalizzato:</w:t>
      </w:r>
    </w:p>
    <w:p w14:paraId="0A1870FA" w14:textId="77777777" w:rsidR="002D69FF" w:rsidRPr="00D7003B" w:rsidRDefault="002D69FF" w:rsidP="002D69FF">
      <w:pPr>
        <w:pStyle w:val="Paragrafoelenco"/>
        <w:widowControl w:val="0"/>
        <w:numPr>
          <w:ilvl w:val="0"/>
          <w:numId w:val="3"/>
        </w:numPr>
        <w:suppressAutoHyphens/>
        <w:autoSpaceDE w:val="0"/>
        <w:autoSpaceDN w:val="0"/>
        <w:adjustRightInd w:val="0"/>
        <w:spacing w:after="0" w:line="276" w:lineRule="auto"/>
        <w:ind w:left="993"/>
        <w:jc w:val="both"/>
        <w:rPr>
          <w:rFonts w:cstheme="minorHAnsi"/>
          <w:sz w:val="20"/>
          <w:szCs w:val="20"/>
        </w:rPr>
      </w:pPr>
      <w:r w:rsidRPr="00D7003B">
        <w:rPr>
          <w:rFonts w:cstheme="minorHAnsi"/>
          <w:sz w:val="20"/>
          <w:szCs w:val="20"/>
          <w:u w:val="single"/>
        </w:rPr>
        <w:t>alla gestione della procedura di volta in volta prevista per la selezione del fornitore in adempimento alle disposizioni di cui al Regolamento acquisti adottato dalla Società</w:t>
      </w:r>
      <w:r w:rsidRPr="00D7003B">
        <w:rPr>
          <w:rFonts w:cstheme="minorHAnsi"/>
          <w:sz w:val="20"/>
          <w:szCs w:val="20"/>
        </w:rPr>
        <w:t>: trattamento effettuato ai sensi degli articoli 6 paragrafo I lettera b) Regolamento (UE) 2016/679 (trattamento necessario all'esecuzione di un contratto di cui l'interessato è parte o all'esecuzione di misure precontrattuali adottate su richiesta dello stesso) e 6 paragrafo I lettera c) Regolamento (UE) 2016/679 (trattamento necessario per adempiere un obbligo legale cui è soggetto il Titolare);</w:t>
      </w:r>
    </w:p>
    <w:p w14:paraId="66B2C9E2" w14:textId="77777777" w:rsidR="002D69FF" w:rsidRPr="00D7003B" w:rsidRDefault="002D69FF" w:rsidP="002D69FF">
      <w:pPr>
        <w:pStyle w:val="Paragrafoelenco"/>
        <w:widowControl w:val="0"/>
        <w:numPr>
          <w:ilvl w:val="0"/>
          <w:numId w:val="3"/>
        </w:numPr>
        <w:suppressAutoHyphens/>
        <w:autoSpaceDE w:val="0"/>
        <w:autoSpaceDN w:val="0"/>
        <w:adjustRightInd w:val="0"/>
        <w:spacing w:after="0" w:line="276" w:lineRule="auto"/>
        <w:ind w:left="993"/>
        <w:jc w:val="both"/>
        <w:rPr>
          <w:rFonts w:cstheme="minorHAnsi"/>
          <w:sz w:val="20"/>
          <w:szCs w:val="20"/>
        </w:rPr>
      </w:pPr>
      <w:r w:rsidRPr="00D7003B">
        <w:rPr>
          <w:rFonts w:cstheme="minorHAnsi"/>
          <w:sz w:val="20"/>
          <w:szCs w:val="20"/>
          <w:u w:val="single"/>
        </w:rPr>
        <w:t>allo svolgimento dei controlli preventivi a verificare l’assenza di motivi di esclusione in capo all’operatore economico</w:t>
      </w:r>
      <w:r w:rsidRPr="00D7003B">
        <w:rPr>
          <w:rFonts w:cstheme="minorHAnsi"/>
          <w:sz w:val="20"/>
          <w:szCs w:val="20"/>
        </w:rPr>
        <w:t xml:space="preserve">: trattamento effettuato ai sensi dell’art. 6 paragrafo I lettera c) Regolamento (UE) 2016/679 (trattamento necessario per adempiere un obbligo legale cui è soggetto il Titolare e nello specifico per adempiere agli obblighi previsti dal </w:t>
      </w:r>
      <w:proofErr w:type="spellStart"/>
      <w:r w:rsidRPr="00D7003B">
        <w:rPr>
          <w:rFonts w:cstheme="minorHAnsi"/>
          <w:sz w:val="20"/>
          <w:szCs w:val="20"/>
        </w:rPr>
        <w:t>D.Lgs.</w:t>
      </w:r>
      <w:proofErr w:type="spellEnd"/>
      <w:r w:rsidRPr="00D7003B">
        <w:rPr>
          <w:rFonts w:cstheme="minorHAnsi"/>
          <w:sz w:val="20"/>
          <w:szCs w:val="20"/>
        </w:rPr>
        <w:t xml:space="preserve"> 18 aprile 2016 n. 50). Con riferimento ai dati relativi a condanne penali e reati di cui all’art. 10 Regolamento (UE) 2016/679 il trattamento è autorizzato dal diritto italiano a norma del Codice dei contratti pubblici;</w:t>
      </w:r>
    </w:p>
    <w:p w14:paraId="73F7E39A" w14:textId="77777777" w:rsidR="002D69FF" w:rsidRPr="00D7003B" w:rsidRDefault="002D69FF" w:rsidP="002D69FF">
      <w:pPr>
        <w:pStyle w:val="Paragrafoelenco"/>
        <w:widowControl w:val="0"/>
        <w:numPr>
          <w:ilvl w:val="0"/>
          <w:numId w:val="3"/>
        </w:numPr>
        <w:suppressAutoHyphens/>
        <w:autoSpaceDE w:val="0"/>
        <w:autoSpaceDN w:val="0"/>
        <w:adjustRightInd w:val="0"/>
        <w:spacing w:after="0" w:line="276" w:lineRule="auto"/>
        <w:ind w:left="993"/>
        <w:jc w:val="both"/>
        <w:rPr>
          <w:rFonts w:cstheme="minorHAnsi"/>
          <w:sz w:val="20"/>
          <w:szCs w:val="20"/>
        </w:rPr>
      </w:pPr>
      <w:r w:rsidRPr="00D7003B">
        <w:rPr>
          <w:rFonts w:cstheme="minorHAnsi"/>
          <w:sz w:val="20"/>
          <w:szCs w:val="20"/>
          <w:u w:val="single"/>
        </w:rPr>
        <w:t>allo svolgimento delle verifiche riguardo l’esatto adempimento dell’oggetto del contratto</w:t>
      </w:r>
      <w:r w:rsidRPr="00D7003B">
        <w:rPr>
          <w:rFonts w:cstheme="minorHAnsi"/>
          <w:sz w:val="20"/>
          <w:szCs w:val="20"/>
        </w:rPr>
        <w:t xml:space="preserve">: trattamento effettuato ai sensi degli articoli 6 paragrafo I lettera b) Regolamento (UE) 2016/679 (trattamento </w:t>
      </w:r>
      <w:r w:rsidRPr="00D7003B">
        <w:rPr>
          <w:rFonts w:cstheme="minorHAnsi"/>
          <w:sz w:val="20"/>
          <w:szCs w:val="20"/>
        </w:rPr>
        <w:lastRenderedPageBreak/>
        <w:t>necessario all'esecuzione di un contratto di cui l'interessato è parte o all'esecuzione di misure precontrattuali adottate su richiesta dello stesso);</w:t>
      </w:r>
    </w:p>
    <w:p w14:paraId="07E3787F" w14:textId="77777777" w:rsidR="002D69FF" w:rsidRPr="00D7003B" w:rsidRDefault="002D69FF" w:rsidP="002D69FF">
      <w:pPr>
        <w:pStyle w:val="Paragrafoelenco"/>
        <w:widowControl w:val="0"/>
        <w:numPr>
          <w:ilvl w:val="0"/>
          <w:numId w:val="3"/>
        </w:numPr>
        <w:suppressAutoHyphens/>
        <w:autoSpaceDE w:val="0"/>
        <w:autoSpaceDN w:val="0"/>
        <w:adjustRightInd w:val="0"/>
        <w:spacing w:after="0" w:line="276" w:lineRule="auto"/>
        <w:ind w:left="993"/>
        <w:jc w:val="both"/>
        <w:rPr>
          <w:rFonts w:cstheme="minorHAnsi"/>
          <w:sz w:val="20"/>
          <w:szCs w:val="20"/>
        </w:rPr>
      </w:pPr>
      <w:r w:rsidRPr="00D7003B">
        <w:rPr>
          <w:rFonts w:cstheme="minorHAnsi"/>
          <w:sz w:val="20"/>
          <w:szCs w:val="20"/>
          <w:u w:val="single"/>
        </w:rPr>
        <w:t>all’adempimento di tutti gli obblighi legali, contrattuali ed amministrativi connessi e strumentali al contratto</w:t>
      </w:r>
      <w:r w:rsidRPr="00D7003B">
        <w:rPr>
          <w:rFonts w:cstheme="minorHAnsi"/>
          <w:sz w:val="20"/>
          <w:szCs w:val="20"/>
        </w:rPr>
        <w:t xml:space="preserve"> (quali, a titolo esemplificativo e non esaustivo, procedere al pagamento del corrispettivo previsto, adempiere agli obblighi di trasparenza cui è soggetta la Società ai sensi del </w:t>
      </w:r>
      <w:proofErr w:type="spellStart"/>
      <w:r w:rsidRPr="00D7003B">
        <w:rPr>
          <w:rFonts w:cstheme="minorHAnsi"/>
          <w:sz w:val="20"/>
          <w:szCs w:val="20"/>
        </w:rPr>
        <w:t>D.Lgs.</w:t>
      </w:r>
      <w:proofErr w:type="spellEnd"/>
      <w:r w:rsidRPr="00D7003B">
        <w:rPr>
          <w:rFonts w:cstheme="minorHAnsi"/>
          <w:sz w:val="20"/>
          <w:szCs w:val="20"/>
        </w:rPr>
        <w:t xml:space="preserve"> 14 marzo 2013 n. 33, procedere – ai sensi dell'art. 71 D.P.R. 28 dicembre 2000 n. 445 – con le verifiche riguardo l'autenticità delle autocertificazioni e delle autodichiarazioni rese, ecc.).</w:t>
      </w:r>
    </w:p>
    <w:p w14:paraId="3C9242D4" w14:textId="77777777" w:rsidR="002D69FF" w:rsidRPr="00D7003B" w:rsidRDefault="002D69FF" w:rsidP="002D69FF">
      <w:pPr>
        <w:pStyle w:val="Paragrafoelenco"/>
        <w:autoSpaceDE w:val="0"/>
        <w:autoSpaceDN w:val="0"/>
        <w:adjustRightInd w:val="0"/>
        <w:spacing w:line="276" w:lineRule="auto"/>
        <w:ind w:left="45"/>
        <w:jc w:val="both"/>
        <w:rPr>
          <w:rFonts w:cstheme="minorHAnsi"/>
          <w:color w:val="000000"/>
          <w:sz w:val="20"/>
          <w:szCs w:val="20"/>
        </w:rPr>
      </w:pPr>
      <w:r w:rsidRPr="00D7003B">
        <w:rPr>
          <w:rFonts w:cstheme="minorHAnsi"/>
          <w:sz w:val="20"/>
          <w:szCs w:val="20"/>
        </w:rPr>
        <w:t xml:space="preserve">Soltanto in ipotesi del tutto eventuale i dati potranno essere trattati </w:t>
      </w:r>
      <w:r w:rsidRPr="00D7003B">
        <w:rPr>
          <w:rFonts w:cstheme="minorHAnsi"/>
          <w:color w:val="000000"/>
          <w:sz w:val="20"/>
          <w:szCs w:val="20"/>
        </w:rPr>
        <w:t>per la difesa di un diritto in sede giudiziaria (ogniqualvolta risulti necessario accertare, esercitare o difendere un diritto del Titolare; trattamento effettuato ai sensi dell’art. 6 paragrafo I lettera f Regolamento UE 2016/679 – trattamento necessario per il perseguimento del legittimo interesse del titolare del trattamento o di terzi) ovvero per dare seguito a richieste da parte dell’Autorità amministrativa o giudiziaria competente e, più in generale, di soggetti pubblici, nel rispetto delle formalità di Legge.</w:t>
      </w:r>
    </w:p>
    <w:p w14:paraId="521A9CAD" w14:textId="77777777" w:rsidR="002D69FF" w:rsidRPr="00D7003B" w:rsidRDefault="002D69FF" w:rsidP="002D69FF">
      <w:pPr>
        <w:pStyle w:val="Paragrafoelenco"/>
        <w:widowControl w:val="0"/>
        <w:numPr>
          <w:ilvl w:val="0"/>
          <w:numId w:val="2"/>
        </w:numPr>
        <w:suppressAutoHyphens/>
        <w:autoSpaceDE w:val="0"/>
        <w:autoSpaceDN w:val="0"/>
        <w:adjustRightInd w:val="0"/>
        <w:spacing w:after="0" w:line="276" w:lineRule="auto"/>
        <w:ind w:left="0"/>
        <w:jc w:val="both"/>
        <w:rPr>
          <w:rFonts w:cstheme="minorHAnsi"/>
          <w:sz w:val="20"/>
          <w:szCs w:val="20"/>
        </w:rPr>
      </w:pPr>
      <w:r w:rsidRPr="00D7003B">
        <w:rPr>
          <w:rFonts w:cstheme="minorHAnsi"/>
          <w:b/>
          <w:sz w:val="20"/>
          <w:szCs w:val="20"/>
        </w:rPr>
        <w:t xml:space="preserve">Modalità di trattamento e periodo di conservazione dei dati. </w:t>
      </w:r>
      <w:r w:rsidRPr="00D7003B">
        <w:rPr>
          <w:rFonts w:cstheme="minorHAnsi"/>
          <w:sz w:val="20"/>
          <w:szCs w:val="20"/>
        </w:rPr>
        <w:t>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termine del rapporto contrattuale. Il trattamento potrà proseguire in caso di esercizio di un diritto in sede giudiziaria.</w:t>
      </w:r>
    </w:p>
    <w:p w14:paraId="61F974A2" w14:textId="77777777" w:rsidR="002D69FF" w:rsidRPr="00D7003B" w:rsidRDefault="002D69FF" w:rsidP="002D69FF">
      <w:pPr>
        <w:pStyle w:val="Paragrafoelenco"/>
        <w:widowControl w:val="0"/>
        <w:numPr>
          <w:ilvl w:val="0"/>
          <w:numId w:val="2"/>
        </w:numPr>
        <w:suppressAutoHyphens/>
        <w:autoSpaceDE w:val="0"/>
        <w:autoSpaceDN w:val="0"/>
        <w:adjustRightInd w:val="0"/>
        <w:spacing w:after="0" w:line="276" w:lineRule="auto"/>
        <w:ind w:left="0"/>
        <w:jc w:val="both"/>
        <w:rPr>
          <w:rFonts w:cstheme="minorHAnsi"/>
          <w:bCs/>
          <w:sz w:val="20"/>
          <w:szCs w:val="20"/>
        </w:rPr>
      </w:pPr>
      <w:r w:rsidRPr="00D7003B">
        <w:rPr>
          <w:rFonts w:cstheme="minorHAnsi"/>
          <w:b/>
          <w:bCs/>
          <w:sz w:val="20"/>
          <w:szCs w:val="20"/>
        </w:rPr>
        <w:t xml:space="preserve">Responsabili esterni del trattamento. </w:t>
      </w:r>
      <w:r w:rsidRPr="00D7003B">
        <w:rPr>
          <w:rFonts w:cstheme="minorHAnsi"/>
          <w:bCs/>
          <w:sz w:val="20"/>
          <w:szCs w:val="20"/>
        </w:rPr>
        <w:t xml:space="preserve">La </w:t>
      </w:r>
      <w:r w:rsidRPr="00D7003B">
        <w:rPr>
          <w:rFonts w:cstheme="minorHAnsi"/>
          <w:bCs/>
          <w:iCs/>
          <w:sz w:val="20"/>
          <w:szCs w:val="20"/>
        </w:rPr>
        <w:t xml:space="preserve">Società </w:t>
      </w:r>
      <w:r w:rsidRPr="00D7003B">
        <w:rPr>
          <w:rFonts w:cstheme="minorHAnsi"/>
          <w:bCs/>
          <w:sz w:val="20"/>
          <w:szCs w:val="20"/>
        </w:rPr>
        <w:t xml:space="preserve">si avvale, nello svolgimento delle proprie attività, del supporto di soggetti esterni, persone fisiche o giuridiche, </w:t>
      </w:r>
      <w:r w:rsidRPr="00D7003B">
        <w:rPr>
          <w:rFonts w:cstheme="minorHAnsi"/>
          <w:bCs/>
          <w:iCs/>
          <w:sz w:val="20"/>
          <w:szCs w:val="20"/>
        </w:rPr>
        <w:t>che sulla base di un contratto o di specifico incarico possono svolgere attività di trattamento di dati personali per conto del Titolare. Questi ultimi</w:t>
      </w:r>
      <w:r w:rsidRPr="00D7003B">
        <w:rPr>
          <w:rFonts w:cstheme="minorHAnsi"/>
          <w:bCs/>
          <w:sz w:val="20"/>
          <w:szCs w:val="20"/>
        </w:rPr>
        <w:t xml:space="preserve"> (ad esempio i consulenti in materia fiscale e contabile) sono stati nominati “Responsabili esterni del trattamento” ai sensi dell’art. 28 GDPR 2016/679 con impegno a rispettare i contenuti del Regolamento stesso. L’elenco dei Responsabili è a disposizione degli interessati previa richiesta scritta.</w:t>
      </w:r>
    </w:p>
    <w:p w14:paraId="39FC583F" w14:textId="77777777" w:rsidR="002D69FF" w:rsidRPr="00D7003B" w:rsidRDefault="002D69FF" w:rsidP="002D69FF">
      <w:pPr>
        <w:pStyle w:val="Paragrafoelenco"/>
        <w:widowControl w:val="0"/>
        <w:numPr>
          <w:ilvl w:val="0"/>
          <w:numId w:val="2"/>
        </w:numPr>
        <w:suppressAutoHyphens/>
        <w:spacing w:after="0" w:line="276" w:lineRule="auto"/>
        <w:ind w:left="0"/>
        <w:jc w:val="both"/>
        <w:rPr>
          <w:rFonts w:cstheme="minorHAnsi"/>
          <w:sz w:val="20"/>
          <w:szCs w:val="20"/>
        </w:rPr>
      </w:pPr>
      <w:r w:rsidRPr="00D7003B">
        <w:rPr>
          <w:rStyle w:val="CharAttribute3"/>
          <w:rFonts w:cstheme="minorHAnsi"/>
          <w:b/>
          <w:sz w:val="20"/>
          <w:szCs w:val="20"/>
        </w:rPr>
        <w:t>Registro delle attività di trattamento.</w:t>
      </w:r>
      <w:r w:rsidRPr="00D7003B">
        <w:rPr>
          <w:rStyle w:val="CharAttribute3"/>
          <w:rFonts w:cstheme="minorHAnsi"/>
          <w:sz w:val="20"/>
          <w:szCs w:val="20"/>
        </w:rPr>
        <w:t xml:space="preserve"> La </w:t>
      </w:r>
      <w:r w:rsidRPr="00D7003B">
        <w:rPr>
          <w:rFonts w:cstheme="minorHAnsi"/>
          <w:iCs/>
          <w:color w:val="221F1F"/>
          <w:sz w:val="20"/>
          <w:szCs w:val="20"/>
          <w:shd w:val="clear" w:color="auto" w:fill="FFFFFF"/>
          <w:lang w:eastAsia="zh-CN"/>
        </w:rPr>
        <w:t>Società</w:t>
      </w:r>
      <w:r w:rsidRPr="00D7003B">
        <w:rPr>
          <w:rFonts w:cstheme="minorHAnsi"/>
          <w:i/>
          <w:color w:val="221F1F"/>
          <w:sz w:val="20"/>
          <w:szCs w:val="20"/>
          <w:shd w:val="clear" w:color="auto" w:fill="FFFFFF"/>
          <w:lang w:eastAsia="zh-CN"/>
        </w:rPr>
        <w:t xml:space="preserve"> </w:t>
      </w:r>
      <w:r w:rsidRPr="00D7003B">
        <w:rPr>
          <w:rStyle w:val="CharAttribute3"/>
          <w:rFonts w:cstheme="minorHAnsi"/>
          <w:sz w:val="20"/>
          <w:szCs w:val="20"/>
        </w:rPr>
        <w:t>si è dotata del Registro delle attività di trattamento previsto dall’art. 30 GDPR 2016/679 (tenuto in formato elettronico). Il documento, a disposizione dell’Autorità Garante, contiene: il nominativo ed i dati di contatto del Titolare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20D24A39" w14:textId="77777777" w:rsidR="002D69FF" w:rsidRPr="00D7003B" w:rsidRDefault="002D69FF" w:rsidP="002D69FF">
      <w:pPr>
        <w:pStyle w:val="Paragrafoelenco"/>
        <w:widowControl w:val="0"/>
        <w:numPr>
          <w:ilvl w:val="0"/>
          <w:numId w:val="2"/>
        </w:numPr>
        <w:suppressAutoHyphens/>
        <w:autoSpaceDE w:val="0"/>
        <w:autoSpaceDN w:val="0"/>
        <w:adjustRightInd w:val="0"/>
        <w:spacing w:after="0" w:line="276" w:lineRule="auto"/>
        <w:ind w:left="0"/>
        <w:jc w:val="both"/>
        <w:rPr>
          <w:rFonts w:cstheme="minorHAnsi"/>
          <w:b/>
          <w:bCs/>
          <w:sz w:val="20"/>
          <w:szCs w:val="20"/>
        </w:rPr>
      </w:pPr>
      <w:r w:rsidRPr="00D7003B">
        <w:rPr>
          <w:rFonts w:cstheme="minorHAnsi"/>
          <w:b/>
          <w:sz w:val="20"/>
          <w:szCs w:val="20"/>
        </w:rPr>
        <w:t>Comunicazione dei dati</w:t>
      </w:r>
      <w:r w:rsidRPr="00D7003B">
        <w:rPr>
          <w:rFonts w:cstheme="minorHAnsi"/>
          <w:b/>
          <w:bCs/>
          <w:sz w:val="20"/>
          <w:szCs w:val="20"/>
        </w:rPr>
        <w:t xml:space="preserve">. </w:t>
      </w:r>
      <w:r w:rsidRPr="00D7003B">
        <w:rPr>
          <w:rFonts w:cstheme="minorHAnsi"/>
          <w:bCs/>
          <w:sz w:val="20"/>
          <w:szCs w:val="20"/>
        </w:rPr>
        <w:t xml:space="preserve">Esclusivamente per le finalità di cui al punto </w:t>
      </w:r>
      <w:r>
        <w:rPr>
          <w:rFonts w:cstheme="minorHAnsi"/>
          <w:bCs/>
          <w:sz w:val="20"/>
          <w:szCs w:val="20"/>
        </w:rPr>
        <w:t>3</w:t>
      </w:r>
      <w:r w:rsidRPr="00D7003B">
        <w:rPr>
          <w:rFonts w:cstheme="minorHAnsi"/>
          <w:bCs/>
          <w:sz w:val="20"/>
          <w:szCs w:val="20"/>
        </w:rPr>
        <w:t>. ovvero in adempimento ad obblighi di Legge o Regolamento, i Suoi dati potranno essere comunicati:</w:t>
      </w:r>
    </w:p>
    <w:p w14:paraId="3E761E4F" w14:textId="77777777" w:rsidR="002D69FF" w:rsidRPr="00D7003B" w:rsidRDefault="002D69FF" w:rsidP="002D69FF">
      <w:pPr>
        <w:pStyle w:val="Paragrafoelenco"/>
        <w:widowControl w:val="0"/>
        <w:numPr>
          <w:ilvl w:val="0"/>
          <w:numId w:val="4"/>
        </w:numPr>
        <w:suppressAutoHyphens/>
        <w:autoSpaceDE w:val="0"/>
        <w:autoSpaceDN w:val="0"/>
        <w:adjustRightInd w:val="0"/>
        <w:spacing w:after="0" w:line="276" w:lineRule="auto"/>
        <w:jc w:val="both"/>
        <w:rPr>
          <w:rFonts w:cstheme="minorHAnsi"/>
          <w:bCs/>
          <w:sz w:val="20"/>
          <w:szCs w:val="20"/>
        </w:rPr>
      </w:pPr>
      <w:r w:rsidRPr="00D7003B">
        <w:rPr>
          <w:rFonts w:cstheme="minorHAnsi"/>
          <w:bCs/>
          <w:sz w:val="20"/>
          <w:szCs w:val="20"/>
        </w:rPr>
        <w:t>ad Enti Pubblici quali, a titolo esemplificativo, INPS, INAIL, ANAC, Agenzia delle Entrate;</w:t>
      </w:r>
    </w:p>
    <w:p w14:paraId="54759FFA" w14:textId="77777777" w:rsidR="002D69FF" w:rsidRPr="00D7003B" w:rsidRDefault="002D69FF" w:rsidP="002D69FF">
      <w:pPr>
        <w:pStyle w:val="Paragrafoelenco"/>
        <w:widowControl w:val="0"/>
        <w:numPr>
          <w:ilvl w:val="0"/>
          <w:numId w:val="4"/>
        </w:numPr>
        <w:suppressAutoHyphens/>
        <w:autoSpaceDE w:val="0"/>
        <w:autoSpaceDN w:val="0"/>
        <w:adjustRightInd w:val="0"/>
        <w:spacing w:after="0" w:line="276" w:lineRule="auto"/>
        <w:jc w:val="both"/>
        <w:rPr>
          <w:rFonts w:cstheme="minorHAnsi"/>
          <w:bCs/>
          <w:sz w:val="20"/>
          <w:szCs w:val="20"/>
        </w:rPr>
      </w:pPr>
      <w:r w:rsidRPr="00D7003B">
        <w:rPr>
          <w:rFonts w:cstheme="minorHAnsi"/>
          <w:bCs/>
          <w:sz w:val="20"/>
          <w:szCs w:val="20"/>
        </w:rPr>
        <w:t>ad Istituti di Credito per effettuare il pagamento dei corrispettivi;</w:t>
      </w:r>
    </w:p>
    <w:p w14:paraId="3F872D83" w14:textId="77777777" w:rsidR="002D69FF" w:rsidRPr="00D7003B" w:rsidRDefault="002D69FF" w:rsidP="002D69FF">
      <w:pPr>
        <w:pStyle w:val="Paragrafoelenco"/>
        <w:widowControl w:val="0"/>
        <w:numPr>
          <w:ilvl w:val="0"/>
          <w:numId w:val="4"/>
        </w:numPr>
        <w:suppressAutoHyphens/>
        <w:autoSpaceDE w:val="0"/>
        <w:autoSpaceDN w:val="0"/>
        <w:adjustRightInd w:val="0"/>
        <w:spacing w:after="0" w:line="276" w:lineRule="auto"/>
        <w:jc w:val="both"/>
        <w:rPr>
          <w:rFonts w:cstheme="minorHAnsi"/>
          <w:bCs/>
          <w:sz w:val="20"/>
          <w:szCs w:val="20"/>
        </w:rPr>
      </w:pPr>
      <w:r w:rsidRPr="00D7003B">
        <w:rPr>
          <w:rFonts w:cstheme="minorHAnsi"/>
          <w:bCs/>
          <w:sz w:val="20"/>
          <w:szCs w:val="20"/>
        </w:rPr>
        <w:t>ai Componenti il Consiglio di Amministrazione, il Collegio Sindacale e l’Organismo di Vigilanza della Società nell’esercizio delle rispettive funzioni.</w:t>
      </w:r>
    </w:p>
    <w:p w14:paraId="3FE9BF73" w14:textId="77777777" w:rsidR="002D69FF" w:rsidRPr="00D7003B" w:rsidRDefault="002D69FF" w:rsidP="002D69FF">
      <w:pPr>
        <w:pStyle w:val="Paragrafoelenco"/>
        <w:autoSpaceDE w:val="0"/>
        <w:autoSpaceDN w:val="0"/>
        <w:adjustRightInd w:val="0"/>
        <w:spacing w:line="276" w:lineRule="auto"/>
        <w:ind w:left="0"/>
        <w:jc w:val="both"/>
        <w:rPr>
          <w:rFonts w:cstheme="minorHAnsi"/>
          <w:bCs/>
          <w:sz w:val="20"/>
          <w:szCs w:val="20"/>
        </w:rPr>
      </w:pPr>
      <w:r w:rsidRPr="00D7003B">
        <w:rPr>
          <w:rFonts w:cstheme="minorHAnsi"/>
          <w:bCs/>
          <w:sz w:val="20"/>
          <w:szCs w:val="20"/>
        </w:rPr>
        <w:t xml:space="preserve">I dati possono essere altresì comunicati ai dipendenti della Società autorizzati al trattamento ai sensi dell’art. 29 GDPR 2016/679, ai soggetti – persone fisiche o giuridiche – nominati quali responsabili esterni ai sensi dell'art. 28 GDPR 2016/679 ed all’Autorità giudiziaria a fronte di specifiche richieste ovvero per tutelare diritti o interessi della Società. </w:t>
      </w:r>
    </w:p>
    <w:p w14:paraId="056275D9" w14:textId="77777777" w:rsidR="002D69FF" w:rsidRPr="00D7003B" w:rsidRDefault="002D69FF" w:rsidP="002D69FF">
      <w:pPr>
        <w:pStyle w:val="Paragrafoelenco"/>
        <w:widowControl w:val="0"/>
        <w:numPr>
          <w:ilvl w:val="0"/>
          <w:numId w:val="2"/>
        </w:numPr>
        <w:suppressAutoHyphens/>
        <w:autoSpaceDE w:val="0"/>
        <w:autoSpaceDN w:val="0"/>
        <w:adjustRightInd w:val="0"/>
        <w:spacing w:after="0" w:line="276" w:lineRule="auto"/>
        <w:ind w:left="0"/>
        <w:jc w:val="both"/>
        <w:rPr>
          <w:rFonts w:cstheme="minorHAnsi"/>
          <w:bCs/>
          <w:sz w:val="20"/>
          <w:szCs w:val="20"/>
        </w:rPr>
      </w:pPr>
      <w:r w:rsidRPr="00D7003B">
        <w:rPr>
          <w:rFonts w:cstheme="minorHAnsi"/>
          <w:b/>
          <w:sz w:val="20"/>
          <w:szCs w:val="20"/>
        </w:rPr>
        <w:t xml:space="preserve">Diffusione dei dati. </w:t>
      </w:r>
      <w:r w:rsidRPr="00D7003B">
        <w:rPr>
          <w:rFonts w:cstheme="minorHAnsi"/>
          <w:bCs/>
          <w:sz w:val="20"/>
          <w:szCs w:val="20"/>
        </w:rPr>
        <w:t xml:space="preserve">I dati comunicati non sono soggetti a diffusione salvi quelli la cui pubblicazione è richiesta dal </w:t>
      </w:r>
      <w:proofErr w:type="spellStart"/>
      <w:r w:rsidRPr="00D7003B">
        <w:rPr>
          <w:rFonts w:cstheme="minorHAnsi"/>
          <w:bCs/>
          <w:sz w:val="20"/>
          <w:szCs w:val="20"/>
        </w:rPr>
        <w:t>D.Lgs.</w:t>
      </w:r>
      <w:proofErr w:type="spellEnd"/>
      <w:r w:rsidRPr="00D7003B">
        <w:rPr>
          <w:rFonts w:cstheme="minorHAnsi"/>
          <w:bCs/>
          <w:sz w:val="20"/>
          <w:szCs w:val="20"/>
        </w:rPr>
        <w:t xml:space="preserve"> 14 marzo 2013 n. 33 in materia di trasparenza alle cui disposizioni la Società è soggetta (la pubblicazione avviene nell’ambito della sezione “Società trasparente” del sito istituzionale ed ha una durata di tre anni in caso di contratto di consulenza ovvero, negli altri casi, di cinque anni decorrenti dal 1° gennaio dell’anno successivo a quello da cui decorre l’obbligo di pubblicazione.</w:t>
      </w:r>
    </w:p>
    <w:p w14:paraId="2D4FBBDB" w14:textId="77777777" w:rsidR="002D69FF" w:rsidRPr="00D7003B" w:rsidRDefault="002D69FF" w:rsidP="002D69FF">
      <w:pPr>
        <w:autoSpaceDE w:val="0"/>
        <w:autoSpaceDN w:val="0"/>
        <w:adjustRightInd w:val="0"/>
        <w:ind w:left="-360"/>
        <w:jc w:val="center"/>
        <w:rPr>
          <w:rFonts w:cstheme="minorHAnsi"/>
          <w:b/>
          <w:sz w:val="20"/>
          <w:szCs w:val="20"/>
        </w:rPr>
      </w:pPr>
      <w:r w:rsidRPr="00D7003B">
        <w:rPr>
          <w:rFonts w:cstheme="minorHAnsi"/>
          <w:b/>
          <w:sz w:val="20"/>
          <w:szCs w:val="20"/>
        </w:rPr>
        <w:lastRenderedPageBreak/>
        <w:t>DIRITTI ESERCITABILI DAGLI INTERESSATI</w:t>
      </w:r>
    </w:p>
    <w:p w14:paraId="66E698F9" w14:textId="77777777" w:rsidR="002D69FF" w:rsidRPr="00D7003B" w:rsidRDefault="002D69FF" w:rsidP="002D69FF">
      <w:pPr>
        <w:autoSpaceDE w:val="0"/>
        <w:autoSpaceDN w:val="0"/>
        <w:adjustRightInd w:val="0"/>
        <w:ind w:left="-360"/>
        <w:rPr>
          <w:rFonts w:cstheme="minorHAnsi"/>
          <w:b/>
          <w:sz w:val="20"/>
          <w:szCs w:val="20"/>
        </w:rPr>
      </w:pPr>
    </w:p>
    <w:p w14:paraId="37876F2F" w14:textId="77777777" w:rsidR="002D69FF" w:rsidRPr="003C2CE9" w:rsidRDefault="002D69FF" w:rsidP="002D69FF">
      <w:pPr>
        <w:jc w:val="both"/>
        <w:rPr>
          <w:rFonts w:ascii="Calibri" w:hAnsi="Calibri" w:cs="Calibri"/>
          <w:sz w:val="20"/>
          <w:szCs w:val="20"/>
        </w:rPr>
      </w:pPr>
      <w:r w:rsidRPr="00D7003B">
        <w:rPr>
          <w:rFonts w:cstheme="minorHAnsi"/>
          <w:bCs/>
          <w:sz w:val="20"/>
          <w:szCs w:val="20"/>
        </w:rPr>
        <w:tab/>
      </w:r>
      <w:r w:rsidRPr="003C2CE9">
        <w:rPr>
          <w:rFonts w:ascii="Calibri" w:hAnsi="Calibri" w:cs="Calibri"/>
          <w:sz w:val="20"/>
          <w:szCs w:val="20"/>
        </w:rPr>
        <w:t xml:space="preserve">Pila S.p.A garantisce agli interessati l’esercizio del </w:t>
      </w:r>
      <w:r w:rsidRPr="003C2CE9">
        <w:rPr>
          <w:rFonts w:ascii="Calibri" w:hAnsi="Calibri" w:cs="Calibri"/>
          <w:b/>
          <w:bCs/>
          <w:sz w:val="20"/>
          <w:szCs w:val="20"/>
        </w:rPr>
        <w:t>diritto di accesso</w:t>
      </w:r>
      <w:r w:rsidRPr="003C2CE9">
        <w:rPr>
          <w:rFonts w:ascii="Calibri" w:hAnsi="Calibri" w:cs="Calibri"/>
          <w:sz w:val="20"/>
          <w:szCs w:val="20"/>
        </w:rPr>
        <w:t xml:space="preserve"> ai sensi dell’art. 15 GDPR 2016/679 e, </w:t>
      </w:r>
      <w:r w:rsidRPr="003C2CE9">
        <w:rPr>
          <w:rFonts w:ascii="Calibri" w:hAnsi="Calibri" w:cs="Calibri"/>
          <w:sz w:val="20"/>
          <w:szCs w:val="20"/>
          <w:u w:val="single"/>
        </w:rPr>
        <w:t>ove applicabili</w:t>
      </w:r>
      <w:r w:rsidRPr="003C2CE9">
        <w:rPr>
          <w:rFonts w:ascii="Calibri" w:hAnsi="Calibri" w:cs="Calibri"/>
          <w:sz w:val="20"/>
          <w:szCs w:val="20"/>
        </w:rPr>
        <w:t xml:space="preserve">, dei </w:t>
      </w:r>
      <w:r w:rsidRPr="003C2CE9">
        <w:rPr>
          <w:rFonts w:ascii="Calibri" w:hAnsi="Calibri" w:cs="Calibri"/>
          <w:b/>
          <w:bCs/>
          <w:sz w:val="20"/>
          <w:szCs w:val="20"/>
        </w:rPr>
        <w:t>diritti di rettifica</w:t>
      </w:r>
      <w:r w:rsidRPr="003C2CE9">
        <w:rPr>
          <w:rFonts w:ascii="Calibri" w:hAnsi="Calibri" w:cs="Calibri"/>
          <w:sz w:val="20"/>
          <w:szCs w:val="20"/>
        </w:rPr>
        <w:t xml:space="preserve"> (art. 16 GDPR 2016/679), </w:t>
      </w:r>
      <w:r w:rsidRPr="003C2CE9">
        <w:rPr>
          <w:rFonts w:ascii="Calibri" w:hAnsi="Calibri" w:cs="Calibri"/>
          <w:b/>
          <w:bCs/>
          <w:sz w:val="20"/>
          <w:szCs w:val="20"/>
        </w:rPr>
        <w:t>cancellazione</w:t>
      </w:r>
      <w:r w:rsidRPr="003C2CE9">
        <w:rPr>
          <w:rFonts w:ascii="Calibri" w:hAnsi="Calibri" w:cs="Calibri"/>
          <w:sz w:val="20"/>
          <w:szCs w:val="20"/>
        </w:rPr>
        <w:t xml:space="preserve"> (art. 17 GDPR 2016/679), </w:t>
      </w:r>
      <w:r w:rsidRPr="003C2CE9">
        <w:rPr>
          <w:rFonts w:ascii="Calibri" w:hAnsi="Calibri" w:cs="Calibri"/>
          <w:b/>
          <w:bCs/>
          <w:sz w:val="20"/>
          <w:szCs w:val="20"/>
        </w:rPr>
        <w:t>limitazione di trattamento</w:t>
      </w:r>
      <w:r w:rsidRPr="003C2CE9">
        <w:rPr>
          <w:rFonts w:ascii="Calibri" w:hAnsi="Calibri" w:cs="Calibri"/>
          <w:sz w:val="20"/>
          <w:szCs w:val="20"/>
        </w:rPr>
        <w:t xml:space="preserve"> (art. 18 GDPR 2016/679), </w:t>
      </w:r>
      <w:r w:rsidRPr="003C2CE9">
        <w:rPr>
          <w:rFonts w:ascii="Calibri" w:hAnsi="Calibri" w:cs="Calibri"/>
          <w:b/>
          <w:bCs/>
          <w:sz w:val="20"/>
          <w:szCs w:val="20"/>
        </w:rPr>
        <w:t>portabilità dei dati</w:t>
      </w:r>
      <w:r w:rsidRPr="003C2CE9">
        <w:rPr>
          <w:rFonts w:ascii="Calibri" w:hAnsi="Calibri" w:cs="Calibri"/>
          <w:sz w:val="20"/>
          <w:szCs w:val="20"/>
        </w:rPr>
        <w:t xml:space="preserve"> (art. 20 GDPR 2016/679), di </w:t>
      </w:r>
      <w:r w:rsidRPr="003C2CE9">
        <w:rPr>
          <w:rFonts w:ascii="Calibri" w:hAnsi="Calibri" w:cs="Calibri"/>
          <w:b/>
          <w:bCs/>
          <w:sz w:val="20"/>
          <w:szCs w:val="20"/>
        </w:rPr>
        <w:t>opposizione al trattamento</w:t>
      </w:r>
      <w:r w:rsidRPr="003C2CE9">
        <w:rPr>
          <w:rFonts w:ascii="Calibri" w:hAnsi="Calibri" w:cs="Calibri"/>
          <w:sz w:val="20"/>
          <w:szCs w:val="20"/>
        </w:rPr>
        <w:t xml:space="preserve"> (art. 21 GDPR 2016/679) e di </w:t>
      </w:r>
      <w:r w:rsidRPr="003C2CE9">
        <w:rPr>
          <w:rFonts w:ascii="Calibri" w:hAnsi="Calibri" w:cs="Calibri"/>
          <w:b/>
          <w:bCs/>
          <w:sz w:val="20"/>
          <w:szCs w:val="20"/>
        </w:rPr>
        <w:t>revoca del consenso</w:t>
      </w:r>
      <w:r w:rsidRPr="003C2CE9">
        <w:rPr>
          <w:rFonts w:ascii="Calibri" w:hAnsi="Calibri" w:cs="Calibri"/>
          <w:sz w:val="20"/>
          <w:szCs w:val="20"/>
        </w:rPr>
        <w:t xml:space="preserve">. Fatto salvo ogni altro ricorso amministrativo o giurisdizionale, qualora dovesse ritenere che il trattamento dei dati venga effettuato in violazione del GDPR 2016/679 ovvero del </w:t>
      </w:r>
      <w:proofErr w:type="spellStart"/>
      <w:r w:rsidRPr="003C2CE9">
        <w:rPr>
          <w:rFonts w:ascii="Calibri" w:hAnsi="Calibri" w:cs="Calibri"/>
          <w:sz w:val="20"/>
          <w:szCs w:val="20"/>
        </w:rPr>
        <w:t>D.Lgs.</w:t>
      </w:r>
      <w:proofErr w:type="spellEnd"/>
      <w:r w:rsidRPr="003C2CE9">
        <w:rPr>
          <w:rFonts w:ascii="Calibri" w:hAnsi="Calibri" w:cs="Calibri"/>
          <w:sz w:val="20"/>
          <w:szCs w:val="20"/>
        </w:rPr>
        <w:t xml:space="preserve"> 30 giugno 2006 n. 196 così come modificato dal </w:t>
      </w:r>
      <w:proofErr w:type="spellStart"/>
      <w:r w:rsidRPr="003C2CE9">
        <w:rPr>
          <w:rFonts w:ascii="Calibri" w:hAnsi="Calibri" w:cs="Calibri"/>
          <w:sz w:val="20"/>
          <w:szCs w:val="20"/>
        </w:rPr>
        <w:t>D.Lgs.</w:t>
      </w:r>
      <w:proofErr w:type="spellEnd"/>
      <w:r w:rsidRPr="003C2CE9">
        <w:rPr>
          <w:rFonts w:ascii="Calibri" w:hAnsi="Calibri" w:cs="Calibri"/>
          <w:sz w:val="20"/>
          <w:szCs w:val="20"/>
        </w:rPr>
        <w:t xml:space="preserve"> 10 agosto 2018 n. 101, ogni interessato ha diritto di proporre reclamo al Garante per la protezione dei dati personali seguendo le procedure e le indicazioni pubblicate sul sito </w:t>
      </w:r>
      <w:r w:rsidRPr="003C2CE9">
        <w:rPr>
          <w:rFonts w:ascii="Calibri" w:hAnsi="Calibri" w:cs="Calibri"/>
          <w:i/>
          <w:sz w:val="20"/>
          <w:szCs w:val="20"/>
        </w:rPr>
        <w:t>web</w:t>
      </w:r>
      <w:r w:rsidRPr="003C2CE9">
        <w:rPr>
          <w:rFonts w:ascii="Calibri" w:hAnsi="Calibri" w:cs="Calibri"/>
          <w:sz w:val="20"/>
          <w:szCs w:val="20"/>
        </w:rPr>
        <w:t xml:space="preserve"> ufficiale dell’Autorità </w:t>
      </w:r>
      <w:hyperlink r:id="rId8" w:history="1">
        <w:r w:rsidRPr="003C2CE9">
          <w:rPr>
            <w:rStyle w:val="Collegamentoipertestuale"/>
            <w:rFonts w:ascii="Calibri" w:hAnsi="Calibri" w:cs="Calibri"/>
            <w:sz w:val="20"/>
            <w:szCs w:val="20"/>
          </w:rPr>
          <w:t>www.garanteprivacy.it</w:t>
        </w:r>
      </w:hyperlink>
      <w:r w:rsidRPr="003C2CE9">
        <w:rPr>
          <w:rFonts w:ascii="Calibri" w:hAnsi="Calibri" w:cs="Calibri"/>
          <w:sz w:val="20"/>
          <w:szCs w:val="20"/>
        </w:rPr>
        <w:t xml:space="preserve">. </w:t>
      </w:r>
      <w:r w:rsidRPr="003C2CE9">
        <w:rPr>
          <w:rFonts w:ascii="Calibri" w:hAnsi="Calibri" w:cs="Calibri"/>
          <w:sz w:val="20"/>
          <w:szCs w:val="20"/>
        </w:rPr>
        <w:tab/>
      </w:r>
    </w:p>
    <w:p w14:paraId="61C13909" w14:textId="39CBD09D" w:rsidR="002D69FF" w:rsidRPr="003C2CE9" w:rsidRDefault="002D69FF" w:rsidP="002D69FF">
      <w:pPr>
        <w:jc w:val="both"/>
        <w:rPr>
          <w:rFonts w:ascii="Calibri" w:hAnsi="Calibri" w:cs="Calibri"/>
          <w:sz w:val="20"/>
          <w:szCs w:val="20"/>
        </w:rPr>
      </w:pPr>
      <w:r w:rsidRPr="003C2CE9">
        <w:rPr>
          <w:rFonts w:ascii="Calibri" w:hAnsi="Calibri" w:cs="Calibri"/>
          <w:sz w:val="20"/>
          <w:szCs w:val="20"/>
        </w:rPr>
        <w:tab/>
        <w:t xml:space="preserve">Le richieste inerenti </w:t>
      </w:r>
      <w:proofErr w:type="gramStart"/>
      <w:r w:rsidRPr="003C2CE9">
        <w:rPr>
          <w:rFonts w:ascii="Calibri" w:hAnsi="Calibri" w:cs="Calibri"/>
          <w:sz w:val="20"/>
          <w:szCs w:val="20"/>
        </w:rPr>
        <w:t>l’esercizio</w:t>
      </w:r>
      <w:proofErr w:type="gramEnd"/>
      <w:r w:rsidRPr="003C2CE9">
        <w:rPr>
          <w:rFonts w:ascii="Calibri" w:hAnsi="Calibri" w:cs="Calibri"/>
          <w:sz w:val="20"/>
          <w:szCs w:val="20"/>
        </w:rPr>
        <w:t xml:space="preserve"> dei diritti sopra esposti devono essere inviate in forma scritta, a mezzo raccomandata, presso la sede della Società ovvero mediante comunicazione al Responsabile Protezione Dati (all’indirizzo riportato in</w:t>
      </w:r>
      <w:r>
        <w:t xml:space="preserve"> </w:t>
      </w:r>
      <w:hyperlink r:id="rId9" w:history="1">
        <w:r w:rsidRPr="00604178">
          <w:rPr>
            <w:rStyle w:val="Collegamentoipertestuale"/>
          </w:rPr>
          <w:t>www.pila.it</w:t>
        </w:r>
      </w:hyperlink>
      <w:r>
        <w:t>,</w:t>
      </w:r>
      <w:r w:rsidRPr="003C2CE9">
        <w:rPr>
          <w:rFonts w:ascii="Calibri" w:hAnsi="Calibri" w:cs="Calibri"/>
          <w:bCs/>
          <w:sz w:val="20"/>
          <w:szCs w:val="20"/>
        </w:rPr>
        <w:t xml:space="preserve"> sezione “info e contatti” – “</w:t>
      </w:r>
      <w:r w:rsidRPr="003C2CE9">
        <w:rPr>
          <w:rFonts w:ascii="Calibri" w:hAnsi="Calibri" w:cs="Calibri"/>
          <w:bCs/>
          <w:i/>
          <w:iCs/>
          <w:sz w:val="20"/>
          <w:szCs w:val="20"/>
        </w:rPr>
        <w:t>privacy”</w:t>
      </w:r>
      <w:r w:rsidRPr="003C2CE9">
        <w:rPr>
          <w:rFonts w:ascii="Calibri" w:hAnsi="Calibri" w:cs="Calibri"/>
          <w:bCs/>
          <w:sz w:val="20"/>
          <w:szCs w:val="20"/>
        </w:rPr>
        <w:t>)</w:t>
      </w:r>
    </w:p>
    <w:p w14:paraId="4CB5FBBD" w14:textId="77777777" w:rsidR="002D69FF" w:rsidRPr="003C2CE9" w:rsidRDefault="002D69FF" w:rsidP="002D69FF">
      <w:pPr>
        <w:jc w:val="both"/>
        <w:rPr>
          <w:rFonts w:ascii="Calibri" w:hAnsi="Calibri" w:cs="Calibri"/>
          <w:sz w:val="20"/>
          <w:szCs w:val="20"/>
        </w:rPr>
      </w:pPr>
      <w:r w:rsidRPr="003C2CE9">
        <w:rPr>
          <w:rFonts w:ascii="Calibri" w:hAnsi="Calibri" w:cs="Calibri"/>
          <w:sz w:val="20"/>
          <w:szCs w:val="20"/>
        </w:rPr>
        <w:tab/>
        <w:t>Il termine per le risposte alle istanze relative all’esercizio dei diritti di cui ai punti da I. a IV. è di 30 (trenta) giorni estensibili sino a 3 (tre) mesi in caso di particolare complessità (valutata dal Titolare del trattamento).</w:t>
      </w:r>
    </w:p>
    <w:p w14:paraId="1968A320" w14:textId="77777777" w:rsidR="00E46C57" w:rsidRDefault="00E46C57"/>
    <w:sectPr w:rsidR="00E46C57" w:rsidSect="00487DDA">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6E72" w14:textId="77777777" w:rsidR="002C744C" w:rsidRDefault="002C744C" w:rsidP="00487DDA">
      <w:pPr>
        <w:spacing w:after="0" w:line="240" w:lineRule="auto"/>
      </w:pPr>
      <w:r>
        <w:separator/>
      </w:r>
    </w:p>
  </w:endnote>
  <w:endnote w:type="continuationSeparator" w:id="0">
    <w:p w14:paraId="0C48BB4E" w14:textId="77777777" w:rsidR="002C744C" w:rsidRDefault="002C744C" w:rsidP="0048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7F2" w14:textId="77777777" w:rsidR="00487DDA" w:rsidRDefault="00487DDA">
    <w:pPr>
      <w:pStyle w:val="Pidipagina"/>
    </w:pPr>
    <w:r>
      <w:rPr>
        <w:noProof/>
        <w:lang w:eastAsia="it-IT"/>
      </w:rPr>
      <w:drawing>
        <wp:anchor distT="0" distB="0" distL="0" distR="0" simplePos="0" relativeHeight="251667456" behindDoc="0" locked="0" layoutInCell="1" allowOverlap="1" wp14:anchorId="51A42D92" wp14:editId="227519E0">
          <wp:simplePos x="0" y="0"/>
          <wp:positionH relativeFrom="page">
            <wp:align>left</wp:align>
          </wp:positionH>
          <wp:positionV relativeFrom="page">
            <wp:align>bottom</wp:align>
          </wp:positionV>
          <wp:extent cx="7560000" cy="1191600"/>
          <wp:effectExtent l="0" t="0" r="3175"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9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9DC8" w14:textId="77777777" w:rsidR="00487DDA" w:rsidRDefault="00487DDA">
    <w:pPr>
      <w:pStyle w:val="Pidipagina"/>
    </w:pPr>
    <w:r>
      <w:rPr>
        <w:noProof/>
        <w:lang w:eastAsia="it-IT"/>
      </w:rPr>
      <w:drawing>
        <wp:anchor distT="0" distB="0" distL="0" distR="0" simplePos="0" relativeHeight="251665408" behindDoc="0" locked="0" layoutInCell="1" allowOverlap="1" wp14:anchorId="704A7737" wp14:editId="73CC6968">
          <wp:simplePos x="0" y="0"/>
          <wp:positionH relativeFrom="page">
            <wp:align>left</wp:align>
          </wp:positionH>
          <wp:positionV relativeFrom="page">
            <wp:align>bottom</wp:align>
          </wp:positionV>
          <wp:extent cx="7560000" cy="1191600"/>
          <wp:effectExtent l="0" t="0" r="3175" b="889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9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AB13" w14:textId="77777777" w:rsidR="002C744C" w:rsidRDefault="002C744C" w:rsidP="00487DDA">
      <w:pPr>
        <w:spacing w:after="0" w:line="240" w:lineRule="auto"/>
      </w:pPr>
      <w:r>
        <w:separator/>
      </w:r>
    </w:p>
  </w:footnote>
  <w:footnote w:type="continuationSeparator" w:id="0">
    <w:p w14:paraId="5530F13A" w14:textId="77777777" w:rsidR="002C744C" w:rsidRDefault="002C744C" w:rsidP="0048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D61" w14:textId="77777777" w:rsidR="00487DDA" w:rsidRDefault="00487DDA">
    <w:pPr>
      <w:pStyle w:val="Intestazione"/>
    </w:pPr>
    <w:r>
      <w:rPr>
        <w:noProof/>
        <w:lang w:eastAsia="it-IT"/>
      </w:rPr>
      <w:drawing>
        <wp:anchor distT="0" distB="0" distL="0" distR="0" simplePos="0" relativeHeight="251663360" behindDoc="0" locked="0" layoutInCell="1" allowOverlap="1" wp14:anchorId="685A5A35" wp14:editId="6D438076">
          <wp:simplePos x="0" y="0"/>
          <wp:positionH relativeFrom="page">
            <wp:align>left</wp:align>
          </wp:positionH>
          <wp:positionV relativeFrom="page">
            <wp:align>top</wp:align>
          </wp:positionV>
          <wp:extent cx="7560000" cy="1515600"/>
          <wp:effectExtent l="0" t="0" r="3175" b="889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1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C262" w14:textId="77777777" w:rsidR="00487DDA" w:rsidRDefault="00487DDA">
    <w:pPr>
      <w:pStyle w:val="Intestazione"/>
    </w:pPr>
    <w:r>
      <w:rPr>
        <w:noProof/>
        <w:lang w:eastAsia="it-IT"/>
      </w:rPr>
      <w:drawing>
        <wp:anchor distT="0" distB="0" distL="0" distR="0" simplePos="0" relativeHeight="251661312" behindDoc="0" locked="1" layoutInCell="1" allowOverlap="1" wp14:anchorId="016E6611" wp14:editId="034E5CCB">
          <wp:simplePos x="0" y="0"/>
          <wp:positionH relativeFrom="page">
            <wp:align>left</wp:align>
          </wp:positionH>
          <wp:positionV relativeFrom="page">
            <wp:align>top</wp:align>
          </wp:positionV>
          <wp:extent cx="7560000" cy="1515600"/>
          <wp:effectExtent l="0" t="0" r="3175" b="889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1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2B7"/>
    <w:multiLevelType w:val="hybridMultilevel"/>
    <w:tmpl w:val="9A6A41FA"/>
    <w:lvl w:ilvl="0" w:tplc="A27CF13A">
      <w:start w:val="1"/>
      <w:numFmt w:val="bullet"/>
      <w:lvlText w:val="-"/>
      <w:lvlJc w:val="left"/>
      <w:pPr>
        <w:ind w:left="928" w:hanging="360"/>
      </w:pPr>
      <w:rPr>
        <w:rFonts w:ascii="Palatino Linotype" w:hAnsi="Palatino Linotype" w:hint="default"/>
        <w:b w:val="0"/>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5A05497D"/>
    <w:multiLevelType w:val="hybridMultilevel"/>
    <w:tmpl w:val="E418F924"/>
    <w:lvl w:ilvl="0" w:tplc="04100017">
      <w:start w:val="1"/>
      <w:numFmt w:val="lowerLetter"/>
      <w:lvlText w:val="%1)"/>
      <w:lvlJc w:val="left"/>
      <w:pPr>
        <w:ind w:left="406" w:hanging="360"/>
      </w:pPr>
    </w:lvl>
    <w:lvl w:ilvl="1" w:tplc="04100019" w:tentative="1">
      <w:start w:val="1"/>
      <w:numFmt w:val="lowerLetter"/>
      <w:lvlText w:val="%2."/>
      <w:lvlJc w:val="left"/>
      <w:pPr>
        <w:ind w:left="1126" w:hanging="360"/>
      </w:pPr>
    </w:lvl>
    <w:lvl w:ilvl="2" w:tplc="0410001B" w:tentative="1">
      <w:start w:val="1"/>
      <w:numFmt w:val="lowerRoman"/>
      <w:lvlText w:val="%3."/>
      <w:lvlJc w:val="right"/>
      <w:pPr>
        <w:ind w:left="1846" w:hanging="180"/>
      </w:pPr>
    </w:lvl>
    <w:lvl w:ilvl="3" w:tplc="0410000F" w:tentative="1">
      <w:start w:val="1"/>
      <w:numFmt w:val="decimal"/>
      <w:lvlText w:val="%4."/>
      <w:lvlJc w:val="left"/>
      <w:pPr>
        <w:ind w:left="2566" w:hanging="360"/>
      </w:pPr>
    </w:lvl>
    <w:lvl w:ilvl="4" w:tplc="04100019" w:tentative="1">
      <w:start w:val="1"/>
      <w:numFmt w:val="lowerLetter"/>
      <w:lvlText w:val="%5."/>
      <w:lvlJc w:val="left"/>
      <w:pPr>
        <w:ind w:left="3286" w:hanging="360"/>
      </w:pPr>
    </w:lvl>
    <w:lvl w:ilvl="5" w:tplc="0410001B" w:tentative="1">
      <w:start w:val="1"/>
      <w:numFmt w:val="lowerRoman"/>
      <w:lvlText w:val="%6."/>
      <w:lvlJc w:val="right"/>
      <w:pPr>
        <w:ind w:left="4006" w:hanging="180"/>
      </w:pPr>
    </w:lvl>
    <w:lvl w:ilvl="6" w:tplc="0410000F" w:tentative="1">
      <w:start w:val="1"/>
      <w:numFmt w:val="decimal"/>
      <w:lvlText w:val="%7."/>
      <w:lvlJc w:val="left"/>
      <w:pPr>
        <w:ind w:left="4726" w:hanging="360"/>
      </w:pPr>
    </w:lvl>
    <w:lvl w:ilvl="7" w:tplc="04100019" w:tentative="1">
      <w:start w:val="1"/>
      <w:numFmt w:val="lowerLetter"/>
      <w:lvlText w:val="%8."/>
      <w:lvlJc w:val="left"/>
      <w:pPr>
        <w:ind w:left="5446" w:hanging="360"/>
      </w:pPr>
    </w:lvl>
    <w:lvl w:ilvl="8" w:tplc="0410001B" w:tentative="1">
      <w:start w:val="1"/>
      <w:numFmt w:val="lowerRoman"/>
      <w:lvlText w:val="%9."/>
      <w:lvlJc w:val="right"/>
      <w:pPr>
        <w:ind w:left="6166" w:hanging="180"/>
      </w:pPr>
    </w:lvl>
  </w:abstractNum>
  <w:abstractNum w:abstractNumId="2" w15:restartNumberingAfterBreak="0">
    <w:nsid w:val="66144813"/>
    <w:multiLevelType w:val="hybridMultilevel"/>
    <w:tmpl w:val="27E85312"/>
    <w:lvl w:ilvl="0" w:tplc="DB6A0E9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16cid:durableId="2089185783">
    <w:abstractNumId w:val="2"/>
  </w:num>
  <w:num w:numId="2" w16cid:durableId="1916627800">
    <w:abstractNumId w:val="3"/>
  </w:num>
  <w:num w:numId="3" w16cid:durableId="1580287371">
    <w:abstractNumId w:val="1"/>
  </w:num>
  <w:num w:numId="4" w16cid:durableId="4654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DDA"/>
    <w:rsid w:val="00221CDC"/>
    <w:rsid w:val="002C744C"/>
    <w:rsid w:val="002D69FF"/>
    <w:rsid w:val="003573FA"/>
    <w:rsid w:val="0036151A"/>
    <w:rsid w:val="00487DDA"/>
    <w:rsid w:val="00776795"/>
    <w:rsid w:val="00850202"/>
    <w:rsid w:val="00CB22EA"/>
    <w:rsid w:val="00E13D7D"/>
    <w:rsid w:val="00E33E76"/>
    <w:rsid w:val="00E46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4B81"/>
  <w15:docId w15:val="{B35872F2-6753-4F1E-B459-EC1304F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DA"/>
  </w:style>
  <w:style w:type="paragraph" w:styleId="Pidipagina">
    <w:name w:val="footer"/>
    <w:basedOn w:val="Normale"/>
    <w:link w:val="PidipaginaCarattere"/>
    <w:uiPriority w:val="99"/>
    <w:unhideWhenUsed/>
    <w:rsid w:val="00487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DA"/>
  </w:style>
  <w:style w:type="character" w:styleId="Collegamentoipertestuale">
    <w:name w:val="Hyperlink"/>
    <w:basedOn w:val="Carpredefinitoparagrafo"/>
    <w:uiPriority w:val="99"/>
    <w:unhideWhenUsed/>
    <w:rsid w:val="002D69FF"/>
    <w:rPr>
      <w:color w:val="0000FF" w:themeColor="hyperlink"/>
      <w:u w:val="single"/>
    </w:rPr>
  </w:style>
  <w:style w:type="paragraph" w:styleId="Paragrafoelenco">
    <w:name w:val="List Paragraph"/>
    <w:basedOn w:val="Normale"/>
    <w:link w:val="ParagrafoelencoCarattere"/>
    <w:uiPriority w:val="34"/>
    <w:qFormat/>
    <w:rsid w:val="002D69FF"/>
    <w:pPr>
      <w:spacing w:after="160" w:line="259" w:lineRule="auto"/>
      <w:ind w:left="720"/>
      <w:contextualSpacing/>
    </w:pPr>
  </w:style>
  <w:style w:type="character" w:customStyle="1" w:styleId="CharAttribute1">
    <w:name w:val="CharAttribute1"/>
    <w:rsid w:val="002D69FF"/>
  </w:style>
  <w:style w:type="character" w:customStyle="1" w:styleId="CharAttribute3">
    <w:name w:val="CharAttribute3"/>
    <w:rsid w:val="002D69FF"/>
  </w:style>
  <w:style w:type="character" w:customStyle="1" w:styleId="CharAttribute4">
    <w:name w:val="CharAttribute4"/>
    <w:rsid w:val="002D69FF"/>
  </w:style>
  <w:style w:type="paragraph" w:customStyle="1" w:styleId="ParaAttribute2">
    <w:name w:val="ParaAttribute2"/>
    <w:rsid w:val="002D69FF"/>
    <w:pPr>
      <w:widowControl w:val="0"/>
      <w:suppressAutoHyphens/>
      <w:spacing w:after="0" w:line="440" w:lineRule="exact"/>
      <w:jc w:val="center"/>
    </w:pPr>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34"/>
    <w:rsid w:val="002D69FF"/>
  </w:style>
  <w:style w:type="character" w:styleId="Menzionenonrisolta">
    <w:name w:val="Unresolved Mention"/>
    <w:basedOn w:val="Carpredefinitoparagrafo"/>
    <w:uiPriority w:val="99"/>
    <w:semiHidden/>
    <w:unhideWhenUsed/>
    <w:rsid w:val="002D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la.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l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1516</Words>
  <Characters>8645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Vanzetti</dc:creator>
  <cp:lastModifiedBy>Andrea Framarin</cp:lastModifiedBy>
  <cp:revision>2</cp:revision>
  <dcterms:created xsi:type="dcterms:W3CDTF">2022-08-18T13:24:00Z</dcterms:created>
  <dcterms:modified xsi:type="dcterms:W3CDTF">2022-08-18T13:24:00Z</dcterms:modified>
</cp:coreProperties>
</file>